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90" w:rsidRDefault="00B65290" w:rsidP="00B65290">
      <w:pPr>
        <w:ind w:left="284" w:right="284"/>
        <w:jc w:val="center"/>
        <w:rPr>
          <w:rFonts w:ascii="Arial" w:hAnsi="Arial" w:cs="Arial"/>
          <w:b/>
        </w:rPr>
      </w:pPr>
      <w:r w:rsidRPr="00B0166C">
        <w:rPr>
          <w:rFonts w:ascii="Arial" w:hAnsi="Arial" w:cs="Arial"/>
          <w:b/>
          <w:noProof/>
          <w:lang w:val="en-US"/>
        </w:rPr>
        <w:drawing>
          <wp:inline distT="0" distB="0" distL="0" distR="0" wp14:anchorId="637D556C" wp14:editId="5A42FEA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8">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B65290" w:rsidRDefault="00B65290" w:rsidP="00B65290">
      <w:pPr>
        <w:ind w:left="284" w:right="284"/>
        <w:jc w:val="right"/>
        <w:rPr>
          <w:rFonts w:ascii="Arial" w:hAnsi="Arial" w:cs="Arial"/>
          <w:b/>
        </w:rPr>
      </w:pPr>
      <w:r>
        <w:rPr>
          <w:rFonts w:ascii="Arial" w:hAnsi="Arial" w:cs="Arial"/>
          <w:b/>
        </w:rPr>
        <w:t>17 August, 2017</w:t>
      </w:r>
    </w:p>
    <w:p w:rsidR="00B65290" w:rsidRDefault="00B65290" w:rsidP="00B65290">
      <w:pPr>
        <w:ind w:left="284" w:right="284"/>
        <w:jc w:val="both"/>
        <w:rPr>
          <w:rFonts w:ascii="Arial" w:hAnsi="Arial" w:cs="Arial"/>
          <w:b/>
        </w:rPr>
      </w:pPr>
    </w:p>
    <w:p w:rsidR="00E11A7C" w:rsidRDefault="00A03C40" w:rsidP="00B65290">
      <w:pPr>
        <w:ind w:left="284" w:right="284"/>
        <w:jc w:val="both"/>
        <w:rPr>
          <w:rFonts w:ascii="Arial" w:hAnsi="Arial" w:cs="Arial"/>
          <w:b/>
        </w:rPr>
      </w:pPr>
      <w:r w:rsidRPr="00A03C40">
        <w:rPr>
          <w:rFonts w:ascii="Arial" w:hAnsi="Arial" w:cs="Arial"/>
          <w:b/>
        </w:rPr>
        <w:t>DowDuPont</w:t>
      </w:r>
      <w:r w:rsidR="00E11A7C" w:rsidRPr="00A03C40">
        <w:rPr>
          <w:rFonts w:ascii="Arial" w:hAnsi="Arial" w:cs="Arial"/>
          <w:b/>
        </w:rPr>
        <w:t xml:space="preserve"> merger given </w:t>
      </w:r>
      <w:r w:rsidR="00DF609A">
        <w:rPr>
          <w:rFonts w:ascii="Arial" w:hAnsi="Arial" w:cs="Arial"/>
          <w:b/>
        </w:rPr>
        <w:t xml:space="preserve">detailed </w:t>
      </w:r>
      <w:r w:rsidR="00E11A7C" w:rsidRPr="00A03C40">
        <w:rPr>
          <w:rFonts w:ascii="Arial" w:hAnsi="Arial" w:cs="Arial"/>
          <w:b/>
        </w:rPr>
        <w:t xml:space="preserve">conditional approval </w:t>
      </w:r>
    </w:p>
    <w:p w:rsidR="00CD0299" w:rsidRDefault="00E11A7C" w:rsidP="00B65290">
      <w:pPr>
        <w:spacing w:line="360" w:lineRule="auto"/>
        <w:ind w:left="284" w:right="284"/>
        <w:jc w:val="both"/>
        <w:rPr>
          <w:rFonts w:ascii="Arial" w:hAnsi="Arial" w:cs="Arial"/>
        </w:rPr>
      </w:pPr>
      <w:r w:rsidRPr="00E11A7C">
        <w:rPr>
          <w:rFonts w:ascii="Arial" w:hAnsi="Arial" w:cs="Arial"/>
        </w:rPr>
        <w:t xml:space="preserve">The </w:t>
      </w:r>
      <w:r w:rsidR="00E938E4">
        <w:rPr>
          <w:rFonts w:ascii="Arial" w:hAnsi="Arial" w:cs="Arial"/>
        </w:rPr>
        <w:t xml:space="preserve">Competition </w:t>
      </w:r>
      <w:r w:rsidRPr="00E11A7C">
        <w:rPr>
          <w:rFonts w:ascii="Arial" w:hAnsi="Arial" w:cs="Arial"/>
        </w:rPr>
        <w:t xml:space="preserve">Tribunal </w:t>
      </w:r>
      <w:r w:rsidR="00E938E4">
        <w:rPr>
          <w:rFonts w:ascii="Arial" w:hAnsi="Arial" w:cs="Arial"/>
        </w:rPr>
        <w:t xml:space="preserve">(“Tribunal”) </w:t>
      </w:r>
      <w:r w:rsidRPr="00E11A7C">
        <w:rPr>
          <w:rFonts w:ascii="Arial" w:hAnsi="Arial" w:cs="Arial"/>
        </w:rPr>
        <w:t xml:space="preserve">has </w:t>
      </w:r>
      <w:r w:rsidR="00E938E4">
        <w:rPr>
          <w:rFonts w:ascii="Arial" w:hAnsi="Arial" w:cs="Arial"/>
        </w:rPr>
        <w:t xml:space="preserve">today </w:t>
      </w:r>
      <w:r w:rsidRPr="00E11A7C">
        <w:rPr>
          <w:rFonts w:ascii="Arial" w:hAnsi="Arial" w:cs="Arial"/>
        </w:rPr>
        <w:t xml:space="preserve">conditionally approved the large merger between </w:t>
      </w:r>
      <w:r w:rsidR="00A03C40">
        <w:rPr>
          <w:rFonts w:ascii="Arial" w:hAnsi="Arial" w:cs="Arial"/>
        </w:rPr>
        <w:t>DowDuPont and the Dow Chemical Company (</w:t>
      </w:r>
      <w:r w:rsidR="00015BD0">
        <w:rPr>
          <w:rFonts w:ascii="Arial" w:hAnsi="Arial" w:cs="Arial"/>
        </w:rPr>
        <w:t>“</w:t>
      </w:r>
      <w:r w:rsidR="00A03C40">
        <w:rPr>
          <w:rFonts w:ascii="Arial" w:hAnsi="Arial" w:cs="Arial"/>
        </w:rPr>
        <w:t>Dow</w:t>
      </w:r>
      <w:r w:rsidR="00015BD0">
        <w:rPr>
          <w:rFonts w:ascii="Arial" w:hAnsi="Arial" w:cs="Arial"/>
        </w:rPr>
        <w:t>”</w:t>
      </w:r>
      <w:r w:rsidR="00A03C40">
        <w:rPr>
          <w:rFonts w:ascii="Arial" w:hAnsi="Arial" w:cs="Arial"/>
        </w:rPr>
        <w:t xml:space="preserve">) and E.I. </w:t>
      </w:r>
      <w:r w:rsidR="00E938E4">
        <w:rPr>
          <w:rFonts w:ascii="Arial" w:hAnsi="Arial" w:cs="Arial"/>
        </w:rPr>
        <w:t>D</w:t>
      </w:r>
      <w:r w:rsidR="00A03C40">
        <w:rPr>
          <w:rFonts w:ascii="Arial" w:hAnsi="Arial" w:cs="Arial"/>
        </w:rPr>
        <w:t>u Pont de Nemours and Company (</w:t>
      </w:r>
      <w:r w:rsidR="00015BD0">
        <w:rPr>
          <w:rFonts w:ascii="Arial" w:hAnsi="Arial" w:cs="Arial"/>
        </w:rPr>
        <w:t>“</w:t>
      </w:r>
      <w:r w:rsidR="00A03C40">
        <w:rPr>
          <w:rFonts w:ascii="Arial" w:hAnsi="Arial" w:cs="Arial"/>
        </w:rPr>
        <w:t>DuPont</w:t>
      </w:r>
      <w:r w:rsidR="00015BD0">
        <w:rPr>
          <w:rFonts w:ascii="Arial" w:hAnsi="Arial" w:cs="Arial"/>
        </w:rPr>
        <w:t>”</w:t>
      </w:r>
      <w:r w:rsidR="00A03C40">
        <w:rPr>
          <w:rFonts w:ascii="Arial" w:hAnsi="Arial" w:cs="Arial"/>
        </w:rPr>
        <w:t>). DowDuPont is a newly incorporated holding company for the purposes of the transaction, which is controlled by both Dow and DuPont.</w:t>
      </w:r>
      <w:r w:rsidR="00CD0299" w:rsidRPr="00CD0299">
        <w:rPr>
          <w:rFonts w:ascii="Arial" w:hAnsi="Arial" w:cs="Arial"/>
        </w:rPr>
        <w:t xml:space="preserve"> </w:t>
      </w:r>
    </w:p>
    <w:p w:rsidR="009D4E62" w:rsidRPr="0082137F" w:rsidRDefault="00FD4E09" w:rsidP="00B65290">
      <w:pPr>
        <w:spacing w:line="360" w:lineRule="auto"/>
        <w:ind w:left="284" w:right="284"/>
        <w:jc w:val="both"/>
        <w:rPr>
          <w:rFonts w:ascii="Arial" w:hAnsi="Arial" w:cs="Arial"/>
        </w:rPr>
      </w:pPr>
      <w:r w:rsidRPr="0082137F">
        <w:rPr>
          <w:rFonts w:ascii="Arial" w:hAnsi="Arial" w:cs="Arial"/>
        </w:rPr>
        <w:t xml:space="preserve">The Competition Commission (“Commission”) recommended that the merger be conditionally approved </w:t>
      </w:r>
      <w:r w:rsidR="00F0136A">
        <w:rPr>
          <w:rFonts w:ascii="Arial" w:hAnsi="Arial" w:cs="Arial"/>
        </w:rPr>
        <w:t>after</w:t>
      </w:r>
      <w:r w:rsidRPr="0082137F">
        <w:rPr>
          <w:rFonts w:ascii="Arial" w:hAnsi="Arial" w:cs="Arial"/>
        </w:rPr>
        <w:t xml:space="preserve"> a lengthy investigation. </w:t>
      </w:r>
    </w:p>
    <w:p w:rsidR="00E938E4" w:rsidRPr="0082137F" w:rsidRDefault="00E938E4" w:rsidP="00B65290">
      <w:pPr>
        <w:spacing w:line="360" w:lineRule="auto"/>
        <w:ind w:left="284" w:right="284"/>
        <w:jc w:val="both"/>
        <w:rPr>
          <w:rFonts w:ascii="Arial" w:hAnsi="Arial" w:cs="Arial"/>
        </w:rPr>
      </w:pPr>
      <w:r w:rsidRPr="0082137F">
        <w:rPr>
          <w:rFonts w:ascii="Arial" w:hAnsi="Arial" w:cs="Arial"/>
        </w:rPr>
        <w:t xml:space="preserve">Dow’s activities </w:t>
      </w:r>
      <w:r w:rsidR="00DF609A" w:rsidRPr="0082137F">
        <w:rPr>
          <w:rFonts w:ascii="Arial" w:hAnsi="Arial" w:cs="Arial"/>
        </w:rPr>
        <w:t xml:space="preserve">in South Africa </w:t>
      </w:r>
      <w:r w:rsidRPr="0082137F">
        <w:rPr>
          <w:rFonts w:ascii="Arial" w:hAnsi="Arial" w:cs="Arial"/>
        </w:rPr>
        <w:t>include the distribution of sunflower seeds, agrochemicals (i.e. insecticides, herbicides and fungicides), material science products (i.e. elastomers, ion exchange resins and low density polyethylene and food texturisers (specifically purified carboxymethylecellulose. Dow does not locally manufacture any of these products in South Africa but imports them into South Africa from it is manufacturing operations in different parts of the world.</w:t>
      </w:r>
    </w:p>
    <w:p w:rsidR="00285237" w:rsidRPr="0082137F" w:rsidRDefault="00DF609A" w:rsidP="00B65290">
      <w:pPr>
        <w:spacing w:line="360" w:lineRule="auto"/>
        <w:ind w:left="284" w:right="284"/>
        <w:jc w:val="both"/>
        <w:rPr>
          <w:rFonts w:ascii="Arial" w:hAnsi="Arial" w:cs="Arial"/>
        </w:rPr>
      </w:pPr>
      <w:r w:rsidRPr="0082137F">
        <w:rPr>
          <w:rFonts w:ascii="Arial" w:hAnsi="Arial" w:cs="Arial"/>
        </w:rPr>
        <w:t xml:space="preserve">DuPont is involved </w:t>
      </w:r>
      <w:r w:rsidR="00F0136A" w:rsidRPr="00F0136A">
        <w:rPr>
          <w:rFonts w:ascii="Arial" w:hAnsi="Arial" w:cs="Arial"/>
          <w:i/>
        </w:rPr>
        <w:t>inter alia</w:t>
      </w:r>
      <w:r w:rsidR="00F0136A">
        <w:rPr>
          <w:rFonts w:ascii="Arial" w:hAnsi="Arial" w:cs="Arial"/>
        </w:rPr>
        <w:t xml:space="preserve"> </w:t>
      </w:r>
      <w:r w:rsidR="00285237" w:rsidRPr="0082137F">
        <w:rPr>
          <w:rFonts w:ascii="Arial" w:hAnsi="Arial" w:cs="Arial"/>
        </w:rPr>
        <w:t>in the distribution of various seeds including maize and sunflower seeds</w:t>
      </w:r>
      <w:r w:rsidR="00FD4E09" w:rsidRPr="0082137F">
        <w:rPr>
          <w:rFonts w:ascii="Arial" w:hAnsi="Arial" w:cs="Arial"/>
        </w:rPr>
        <w:t xml:space="preserve">, </w:t>
      </w:r>
      <w:r w:rsidR="00285237" w:rsidRPr="0082137F">
        <w:rPr>
          <w:rFonts w:ascii="Arial" w:hAnsi="Arial" w:cs="Arial"/>
        </w:rPr>
        <w:t>agrochemicals</w:t>
      </w:r>
      <w:r w:rsidR="004B6986" w:rsidRPr="0082137F">
        <w:rPr>
          <w:rFonts w:ascii="Arial" w:hAnsi="Arial" w:cs="Arial"/>
        </w:rPr>
        <w:t xml:space="preserve"> and various </w:t>
      </w:r>
      <w:r w:rsidR="00285237" w:rsidRPr="0082137F">
        <w:rPr>
          <w:rFonts w:ascii="Arial" w:hAnsi="Arial" w:cs="Arial"/>
        </w:rPr>
        <w:t>material science products</w:t>
      </w:r>
      <w:r w:rsidR="00F0136A" w:rsidRPr="00F0136A">
        <w:rPr>
          <w:rFonts w:ascii="Arial" w:hAnsi="Arial" w:cs="Arial"/>
        </w:rPr>
        <w:t xml:space="preserve"> </w:t>
      </w:r>
      <w:r w:rsidR="00F0136A" w:rsidRPr="0082137F">
        <w:rPr>
          <w:rFonts w:ascii="Arial" w:hAnsi="Arial" w:cs="Arial"/>
        </w:rPr>
        <w:t>in South Africa</w:t>
      </w:r>
      <w:r w:rsidR="00285237" w:rsidRPr="0082137F">
        <w:rPr>
          <w:rFonts w:ascii="Arial" w:hAnsi="Arial" w:cs="Arial"/>
        </w:rPr>
        <w:t xml:space="preserve">. </w:t>
      </w:r>
    </w:p>
    <w:p w:rsidR="00285237" w:rsidRPr="0082137F" w:rsidRDefault="00285237" w:rsidP="00B65290">
      <w:pPr>
        <w:spacing w:line="360" w:lineRule="auto"/>
        <w:ind w:left="284" w:right="284"/>
        <w:jc w:val="both"/>
        <w:rPr>
          <w:rFonts w:ascii="Arial" w:hAnsi="Arial" w:cs="Arial"/>
        </w:rPr>
      </w:pPr>
      <w:r w:rsidRPr="0082137F">
        <w:rPr>
          <w:rFonts w:ascii="Arial" w:hAnsi="Arial" w:cs="Arial"/>
        </w:rPr>
        <w:t>Although there is no direct overlap arising in respect of the commercialisation of hybrid and GM hybrid maize seed in South Africa</w:t>
      </w:r>
      <w:r w:rsidR="00572E2D">
        <w:rPr>
          <w:rFonts w:ascii="Arial" w:hAnsi="Arial" w:cs="Arial"/>
        </w:rPr>
        <w:t>,</w:t>
      </w:r>
      <w:r w:rsidRPr="0082137F">
        <w:rPr>
          <w:rFonts w:ascii="Arial" w:hAnsi="Arial" w:cs="Arial"/>
        </w:rPr>
        <w:t xml:space="preserve"> since Dow does not have maize seed commercial operations in the country, the Commission found that the proposed </w:t>
      </w:r>
      <w:r w:rsidR="00D75C4E" w:rsidRPr="0082137F">
        <w:rPr>
          <w:rFonts w:ascii="Arial" w:hAnsi="Arial" w:cs="Arial"/>
        </w:rPr>
        <w:t xml:space="preserve">transaction </w:t>
      </w:r>
      <w:r w:rsidRPr="0082137F">
        <w:rPr>
          <w:rFonts w:ascii="Arial" w:hAnsi="Arial" w:cs="Arial"/>
        </w:rPr>
        <w:t xml:space="preserve">will likely result in the removal of </w:t>
      </w:r>
      <w:r w:rsidR="00FD4E09" w:rsidRPr="0082137F">
        <w:rPr>
          <w:rFonts w:ascii="Arial" w:hAnsi="Arial" w:cs="Arial"/>
        </w:rPr>
        <w:t>a</w:t>
      </w:r>
      <w:r w:rsidR="00572E2D">
        <w:rPr>
          <w:rFonts w:ascii="Arial" w:hAnsi="Arial" w:cs="Arial"/>
        </w:rPr>
        <w:t xml:space="preserve"> significant</w:t>
      </w:r>
      <w:r w:rsidR="00FD4E09" w:rsidRPr="0082137F">
        <w:rPr>
          <w:rFonts w:ascii="Arial" w:hAnsi="Arial" w:cs="Arial"/>
        </w:rPr>
        <w:t xml:space="preserve"> </w:t>
      </w:r>
      <w:r w:rsidRPr="00F0136A">
        <w:rPr>
          <w:rFonts w:ascii="Arial" w:hAnsi="Arial" w:cs="Arial"/>
          <w:u w:val="single"/>
        </w:rPr>
        <w:t>potential</w:t>
      </w:r>
      <w:r w:rsidRPr="0082137F">
        <w:rPr>
          <w:rFonts w:ascii="Arial" w:hAnsi="Arial" w:cs="Arial"/>
        </w:rPr>
        <w:t xml:space="preserve"> competit</w:t>
      </w:r>
      <w:r w:rsidR="00EC5320" w:rsidRPr="0082137F">
        <w:rPr>
          <w:rFonts w:ascii="Arial" w:hAnsi="Arial" w:cs="Arial"/>
        </w:rPr>
        <w:t>or</w:t>
      </w:r>
      <w:r w:rsidR="00FD4E09" w:rsidRPr="0082137F">
        <w:rPr>
          <w:rFonts w:ascii="Arial" w:hAnsi="Arial" w:cs="Arial"/>
        </w:rPr>
        <w:t xml:space="preserve"> in the maize seed market</w:t>
      </w:r>
      <w:r w:rsidR="00D75C4E" w:rsidRPr="0082137F">
        <w:rPr>
          <w:rFonts w:ascii="Arial" w:hAnsi="Arial" w:cs="Arial"/>
        </w:rPr>
        <w:t xml:space="preserve"> in South Africa</w:t>
      </w:r>
      <w:r w:rsidRPr="0082137F">
        <w:rPr>
          <w:rFonts w:ascii="Arial" w:hAnsi="Arial" w:cs="Arial"/>
        </w:rPr>
        <w:t xml:space="preserve">. This is so because Dow had plans and a strategy to enter the South African commercial maize seed market in a significant way. </w:t>
      </w:r>
      <w:r w:rsidR="00FD4E09" w:rsidRPr="0082137F">
        <w:rPr>
          <w:rFonts w:ascii="Arial" w:hAnsi="Arial" w:cs="Arial"/>
        </w:rPr>
        <w:t>There are no other potential entrants who are likely to constrain the incumbents, DuPont and Monsanto, in this instance.</w:t>
      </w:r>
    </w:p>
    <w:p w:rsidR="0082137F" w:rsidRPr="0082137F" w:rsidRDefault="00EA3100" w:rsidP="00B65290">
      <w:pPr>
        <w:spacing w:line="360" w:lineRule="auto"/>
        <w:ind w:left="284" w:right="284"/>
        <w:jc w:val="both"/>
        <w:rPr>
          <w:rFonts w:ascii="Arial" w:hAnsi="Arial" w:cs="Arial"/>
        </w:rPr>
      </w:pPr>
      <w:r w:rsidRPr="0082137F">
        <w:rPr>
          <w:rFonts w:ascii="Arial" w:hAnsi="Arial" w:cs="Arial"/>
        </w:rPr>
        <w:t xml:space="preserve">To address this concern in the maize seed market </w:t>
      </w:r>
      <w:r w:rsidR="0082137F" w:rsidRPr="0082137F">
        <w:rPr>
          <w:rFonts w:ascii="Arial" w:hAnsi="Arial" w:cs="Arial"/>
        </w:rPr>
        <w:t xml:space="preserve">in South Africa </w:t>
      </w:r>
      <w:r w:rsidRPr="0082137F">
        <w:rPr>
          <w:rFonts w:ascii="Arial" w:hAnsi="Arial" w:cs="Arial"/>
        </w:rPr>
        <w:t>t</w:t>
      </w:r>
      <w:r w:rsidR="00EC5320" w:rsidRPr="0082137F">
        <w:rPr>
          <w:rFonts w:ascii="Arial" w:hAnsi="Arial" w:cs="Arial"/>
        </w:rPr>
        <w:t xml:space="preserve">he merging parties put up a licencing remedy. </w:t>
      </w:r>
    </w:p>
    <w:p w:rsidR="0082137F" w:rsidRDefault="00EC5320" w:rsidP="00B65290">
      <w:pPr>
        <w:spacing w:line="360" w:lineRule="auto"/>
        <w:ind w:left="284" w:right="284"/>
        <w:jc w:val="both"/>
        <w:rPr>
          <w:rFonts w:ascii="Arial" w:hAnsi="Arial" w:cs="Arial"/>
        </w:rPr>
      </w:pPr>
      <w:r w:rsidRPr="0082137F">
        <w:rPr>
          <w:rFonts w:ascii="Arial" w:hAnsi="Arial" w:cs="Arial"/>
        </w:rPr>
        <w:t xml:space="preserve">At an initial hearing on </w:t>
      </w:r>
      <w:r w:rsidR="0082137F" w:rsidRPr="0082137F">
        <w:rPr>
          <w:rFonts w:ascii="Arial" w:hAnsi="Arial" w:cs="Arial"/>
        </w:rPr>
        <w:t xml:space="preserve">19 July </w:t>
      </w:r>
      <w:r w:rsidRPr="0082137F">
        <w:rPr>
          <w:rFonts w:ascii="Arial" w:hAnsi="Arial" w:cs="Arial"/>
        </w:rPr>
        <w:t xml:space="preserve">2017 the Tribunal requested the Commission to </w:t>
      </w:r>
      <w:r>
        <w:rPr>
          <w:rFonts w:ascii="Arial" w:hAnsi="Arial" w:cs="Arial"/>
        </w:rPr>
        <w:t xml:space="preserve">undertake a proper market investigation and consult a number of potential entrants/licensees in the maize seed market </w:t>
      </w:r>
      <w:r w:rsidR="0082137F" w:rsidRPr="0082137F">
        <w:rPr>
          <w:rFonts w:ascii="Arial" w:hAnsi="Arial" w:cs="Arial"/>
        </w:rPr>
        <w:t xml:space="preserve">about </w:t>
      </w:r>
      <w:r w:rsidR="0082137F" w:rsidRPr="00572E2D">
        <w:rPr>
          <w:rFonts w:ascii="Arial" w:hAnsi="Arial" w:cs="Arial"/>
          <w:i/>
        </w:rPr>
        <w:t>inter alia</w:t>
      </w:r>
      <w:r w:rsidR="0082137F" w:rsidRPr="0082137F">
        <w:rPr>
          <w:rFonts w:ascii="Arial" w:hAnsi="Arial" w:cs="Arial"/>
        </w:rPr>
        <w:t xml:space="preserve"> the efficacy of the proposed licensing remedy </w:t>
      </w:r>
      <w:r>
        <w:rPr>
          <w:rFonts w:ascii="Arial" w:hAnsi="Arial" w:cs="Arial"/>
        </w:rPr>
        <w:t xml:space="preserve">and to submit their findings to the Tribunal and then once again appear before the Tribunal on 04 August 2017. The Tribunal further required that the potential licensees appear before it and testify to their submissions as well </w:t>
      </w:r>
      <w:r w:rsidR="0082137F" w:rsidRPr="0082137F">
        <w:rPr>
          <w:rFonts w:ascii="Arial" w:hAnsi="Arial" w:cs="Arial"/>
        </w:rPr>
        <w:t xml:space="preserve">as </w:t>
      </w:r>
      <w:r w:rsidRPr="0082137F">
        <w:rPr>
          <w:rFonts w:ascii="Arial" w:hAnsi="Arial" w:cs="Arial"/>
        </w:rPr>
        <w:t xml:space="preserve">answer </w:t>
      </w:r>
      <w:r>
        <w:rPr>
          <w:rFonts w:ascii="Arial" w:hAnsi="Arial" w:cs="Arial"/>
        </w:rPr>
        <w:t>questions from the Tribunal.</w:t>
      </w:r>
      <w:r w:rsidR="0082137F" w:rsidRPr="0082137F">
        <w:rPr>
          <w:rFonts w:ascii="Arial" w:hAnsi="Arial" w:cs="Arial"/>
        </w:rPr>
        <w:t xml:space="preserve"> </w:t>
      </w:r>
      <w:r w:rsidR="0082137F">
        <w:rPr>
          <w:rFonts w:ascii="Arial" w:hAnsi="Arial" w:cs="Arial"/>
        </w:rPr>
        <w:t xml:space="preserve">The Tribunal wanted to ensure that the </w:t>
      </w:r>
      <w:r w:rsidR="00F0136A">
        <w:rPr>
          <w:rFonts w:ascii="Arial" w:hAnsi="Arial" w:cs="Arial"/>
        </w:rPr>
        <w:t xml:space="preserve">proposed licensing </w:t>
      </w:r>
      <w:r w:rsidR="0082137F">
        <w:rPr>
          <w:rFonts w:ascii="Arial" w:hAnsi="Arial" w:cs="Arial"/>
        </w:rPr>
        <w:t>remedy would assist the small maize seed producers in South Africa to improve their market positions in maize seed production in South Africa.</w:t>
      </w:r>
    </w:p>
    <w:p w:rsidR="00605308" w:rsidRDefault="00EC5320" w:rsidP="00B65290">
      <w:pPr>
        <w:spacing w:line="360" w:lineRule="auto"/>
        <w:ind w:left="284" w:right="284"/>
        <w:jc w:val="both"/>
        <w:rPr>
          <w:rFonts w:ascii="Arial" w:hAnsi="Arial" w:cs="Arial"/>
        </w:rPr>
      </w:pPr>
      <w:r>
        <w:rPr>
          <w:rFonts w:ascii="Arial" w:hAnsi="Arial" w:cs="Arial"/>
        </w:rPr>
        <w:t xml:space="preserve">Upon reappearance on 04 August 2017, the merging parties offered certain clarifications and improvements on the proposed </w:t>
      </w:r>
      <w:r w:rsidR="0082137F">
        <w:rPr>
          <w:rFonts w:ascii="Arial" w:hAnsi="Arial" w:cs="Arial"/>
        </w:rPr>
        <w:t>l</w:t>
      </w:r>
      <w:r>
        <w:rPr>
          <w:rFonts w:ascii="Arial" w:hAnsi="Arial" w:cs="Arial"/>
        </w:rPr>
        <w:t>icensing condition</w:t>
      </w:r>
      <w:r w:rsidR="00FF4755">
        <w:rPr>
          <w:rFonts w:ascii="Arial" w:hAnsi="Arial" w:cs="Arial"/>
        </w:rPr>
        <w:t>s</w:t>
      </w:r>
      <w:r>
        <w:rPr>
          <w:rFonts w:ascii="Arial" w:hAnsi="Arial" w:cs="Arial"/>
        </w:rPr>
        <w:t xml:space="preserve"> amid questions from the Tribunal and submissions from the potential licensees. </w:t>
      </w:r>
      <w:r w:rsidR="00605308">
        <w:rPr>
          <w:rFonts w:ascii="Arial" w:hAnsi="Arial" w:cs="Arial"/>
        </w:rPr>
        <w:t xml:space="preserve">Following enhancements to the proposed maize seed remedy, the Tribunal has approved the merger subject to a detailed set of </w:t>
      </w:r>
      <w:r w:rsidR="0082137F">
        <w:rPr>
          <w:rFonts w:ascii="Arial" w:hAnsi="Arial" w:cs="Arial"/>
        </w:rPr>
        <w:t xml:space="preserve">licensing </w:t>
      </w:r>
      <w:r w:rsidR="00605308">
        <w:rPr>
          <w:rFonts w:ascii="Arial" w:hAnsi="Arial" w:cs="Arial"/>
        </w:rPr>
        <w:t>conditions.</w:t>
      </w:r>
    </w:p>
    <w:p w:rsidR="00605308" w:rsidRDefault="00511347" w:rsidP="00B65290">
      <w:pPr>
        <w:spacing w:line="360" w:lineRule="auto"/>
        <w:ind w:left="284" w:right="284"/>
        <w:jc w:val="both"/>
        <w:rPr>
          <w:rFonts w:ascii="Arial" w:hAnsi="Arial" w:cs="Arial"/>
        </w:rPr>
      </w:pPr>
      <w:r>
        <w:rPr>
          <w:rFonts w:ascii="Arial" w:hAnsi="Arial" w:cs="Arial"/>
        </w:rPr>
        <w:t xml:space="preserve">The </w:t>
      </w:r>
      <w:r w:rsidR="0082137F">
        <w:rPr>
          <w:rFonts w:ascii="Arial" w:hAnsi="Arial" w:cs="Arial"/>
        </w:rPr>
        <w:t xml:space="preserve">licencing </w:t>
      </w:r>
      <w:r>
        <w:rPr>
          <w:rFonts w:ascii="Arial" w:hAnsi="Arial" w:cs="Arial"/>
        </w:rPr>
        <w:t xml:space="preserve">remedy includes provisions that </w:t>
      </w:r>
      <w:r w:rsidR="00605308">
        <w:rPr>
          <w:rFonts w:ascii="Arial" w:hAnsi="Arial" w:cs="Arial"/>
        </w:rPr>
        <w:t xml:space="preserve">the parties make available and license certain plant materials contained in a Genetic Material List, which Dow has the right to license, to any person, firm or </w:t>
      </w:r>
      <w:r w:rsidR="0082137F">
        <w:rPr>
          <w:rFonts w:ascii="Arial" w:hAnsi="Arial" w:cs="Arial"/>
        </w:rPr>
        <w:t>l</w:t>
      </w:r>
      <w:r w:rsidR="00605308">
        <w:rPr>
          <w:rFonts w:ascii="Arial" w:hAnsi="Arial" w:cs="Arial"/>
        </w:rPr>
        <w:t xml:space="preserve">icensee in South Africa apart from Monsanto, on a non-exclusive basis, and on terms and conditions that are fair, reasonable and non-discriminatory to any licensee. </w:t>
      </w:r>
      <w:r w:rsidR="00605308" w:rsidRPr="0082137F">
        <w:rPr>
          <w:rFonts w:ascii="Arial" w:hAnsi="Arial" w:cs="Arial"/>
        </w:rPr>
        <w:t xml:space="preserve">Under the conditions, the merging parties shall: (i) </w:t>
      </w:r>
      <w:r w:rsidR="00605308">
        <w:rPr>
          <w:rFonts w:ascii="Arial" w:hAnsi="Arial" w:cs="Arial"/>
        </w:rPr>
        <w:t>grant the right to conduct breeding and testing in South Africa of each and any of the products on the Genetic Materials List, at no charge; (ii) subsequently upon request enter a commercialization agreement relating to any licensed material or inbreds developed through breeding activities using the licensed materials for commercialization, registration and use in South Africa and, if applicable, thereafter, the rest of Africa; and (ii) grant the right to sub-license the genetic materials.</w:t>
      </w:r>
    </w:p>
    <w:p w:rsidR="00285237" w:rsidRPr="0082137F" w:rsidRDefault="00285237" w:rsidP="00B65290">
      <w:pPr>
        <w:spacing w:line="360" w:lineRule="auto"/>
        <w:ind w:left="284" w:right="284"/>
        <w:jc w:val="both"/>
        <w:rPr>
          <w:rFonts w:ascii="Arial" w:hAnsi="Arial" w:cs="Arial"/>
        </w:rPr>
      </w:pPr>
      <w:r w:rsidRPr="0082137F">
        <w:rPr>
          <w:rFonts w:ascii="Arial" w:hAnsi="Arial" w:cs="Arial"/>
        </w:rPr>
        <w:t xml:space="preserve">The Commission </w:t>
      </w:r>
      <w:r w:rsidR="00FF4755">
        <w:rPr>
          <w:rFonts w:ascii="Arial" w:hAnsi="Arial" w:cs="Arial"/>
        </w:rPr>
        <w:t>furthermore found</w:t>
      </w:r>
      <w:r w:rsidRPr="0082137F">
        <w:rPr>
          <w:rFonts w:ascii="Arial" w:hAnsi="Arial" w:cs="Arial"/>
        </w:rPr>
        <w:t xml:space="preserve"> that the proposed transaction is likely to lead to a substantial prevention or lessening of competition post-merger in the market for insecticides for chewing insects for citrus (in Limpopo, Western Cape, Mpumalanga, Eastern Cape, KwaZulu-Natal and the Northern Cape), deciduous fruits (Western Cape, Northern Cape, North West and Limpopo), vegetables (nationally) and tomatoes (in Limpopo, Mpumalanga and the Eastern Cape).</w:t>
      </w:r>
    </w:p>
    <w:p w:rsidR="00FD4E09" w:rsidRPr="0082137F" w:rsidRDefault="00EC5320" w:rsidP="00B65290">
      <w:pPr>
        <w:spacing w:line="360" w:lineRule="auto"/>
        <w:ind w:left="284" w:right="284"/>
        <w:jc w:val="both"/>
        <w:rPr>
          <w:rFonts w:ascii="Arial" w:hAnsi="Arial" w:cs="Arial"/>
        </w:rPr>
      </w:pPr>
      <w:r w:rsidRPr="0082137F">
        <w:rPr>
          <w:rFonts w:ascii="Arial" w:hAnsi="Arial" w:cs="Arial"/>
        </w:rPr>
        <w:t>To address the above concern t</w:t>
      </w:r>
      <w:r w:rsidR="00FD4E09" w:rsidRPr="0082137F">
        <w:rPr>
          <w:rFonts w:ascii="Arial" w:hAnsi="Arial" w:cs="Arial"/>
        </w:rPr>
        <w:t xml:space="preserve">he merging parties submitted a </w:t>
      </w:r>
      <w:r w:rsidR="0082137F" w:rsidRPr="0082137F">
        <w:rPr>
          <w:rFonts w:ascii="Arial" w:hAnsi="Arial" w:cs="Arial"/>
        </w:rPr>
        <w:t>g</w:t>
      </w:r>
      <w:r w:rsidR="00FD4E09" w:rsidRPr="0082137F">
        <w:rPr>
          <w:rFonts w:ascii="Arial" w:hAnsi="Arial" w:cs="Arial"/>
        </w:rPr>
        <w:t xml:space="preserve">lobal </w:t>
      </w:r>
      <w:r w:rsidR="0082137F" w:rsidRPr="0082137F">
        <w:rPr>
          <w:rFonts w:ascii="Arial" w:hAnsi="Arial" w:cs="Arial"/>
        </w:rPr>
        <w:t>r</w:t>
      </w:r>
      <w:r w:rsidR="00FD4E09" w:rsidRPr="0082137F">
        <w:rPr>
          <w:rFonts w:ascii="Arial" w:hAnsi="Arial" w:cs="Arial"/>
        </w:rPr>
        <w:t>emedy comprising a divestiture. Th</w:t>
      </w:r>
      <w:r w:rsidRPr="0082137F">
        <w:rPr>
          <w:rFonts w:ascii="Arial" w:hAnsi="Arial" w:cs="Arial"/>
        </w:rPr>
        <w:t>is</w:t>
      </w:r>
      <w:r w:rsidR="00FD4E09" w:rsidRPr="0082137F">
        <w:rPr>
          <w:rFonts w:ascii="Arial" w:hAnsi="Arial" w:cs="Arial"/>
        </w:rPr>
        <w:t xml:space="preserve"> </w:t>
      </w:r>
      <w:r w:rsidRPr="0082137F">
        <w:rPr>
          <w:rFonts w:ascii="Arial" w:hAnsi="Arial" w:cs="Arial"/>
        </w:rPr>
        <w:t>r</w:t>
      </w:r>
      <w:r w:rsidR="00FD4E09" w:rsidRPr="0082137F">
        <w:rPr>
          <w:rFonts w:ascii="Arial" w:hAnsi="Arial" w:cs="Arial"/>
        </w:rPr>
        <w:t xml:space="preserve">emedy includes a divestment of all the additional active ingredients which Dow was acquiring from DuPont. More importantly, the divestiture also includes the R&amp;D business associated with the development of the affected active ingredients such that the remedy will also apply at the upstream layer where the market power originates from. </w:t>
      </w:r>
      <w:r w:rsidR="0082137F" w:rsidRPr="0082137F">
        <w:rPr>
          <w:rFonts w:ascii="Arial" w:hAnsi="Arial" w:cs="Arial"/>
        </w:rPr>
        <w:t xml:space="preserve">This </w:t>
      </w:r>
      <w:r w:rsidR="00E83754">
        <w:rPr>
          <w:rFonts w:ascii="Arial" w:hAnsi="Arial" w:cs="Arial"/>
        </w:rPr>
        <w:t xml:space="preserve">divestiture </w:t>
      </w:r>
      <w:r w:rsidR="0082137F" w:rsidRPr="0082137F">
        <w:rPr>
          <w:rFonts w:ascii="Arial" w:hAnsi="Arial" w:cs="Arial"/>
        </w:rPr>
        <w:t>in our view adequately addresses the competition concerns resulting from the proposed merger</w:t>
      </w:r>
      <w:r w:rsidR="003641B0" w:rsidRPr="003641B0">
        <w:rPr>
          <w:rFonts w:ascii="Arial" w:hAnsi="Arial" w:cs="Arial"/>
        </w:rPr>
        <w:t xml:space="preserve"> </w:t>
      </w:r>
      <w:r w:rsidR="003641B0" w:rsidRPr="0082137F">
        <w:rPr>
          <w:rFonts w:ascii="Arial" w:hAnsi="Arial" w:cs="Arial"/>
        </w:rPr>
        <w:t>in the insecticides market</w:t>
      </w:r>
      <w:r w:rsidR="003641B0">
        <w:rPr>
          <w:rFonts w:ascii="Arial" w:hAnsi="Arial" w:cs="Arial"/>
        </w:rPr>
        <w:t>s</w:t>
      </w:r>
      <w:r w:rsidR="0082137F" w:rsidRPr="0082137F">
        <w:rPr>
          <w:rFonts w:ascii="Arial" w:hAnsi="Arial" w:cs="Arial"/>
        </w:rPr>
        <w:t>.</w:t>
      </w:r>
    </w:p>
    <w:p w:rsidR="009D4E62" w:rsidRDefault="00E11A7C" w:rsidP="00B65290">
      <w:pPr>
        <w:spacing w:line="360" w:lineRule="auto"/>
        <w:ind w:left="284" w:right="284"/>
        <w:jc w:val="both"/>
        <w:rPr>
          <w:rFonts w:ascii="Arial" w:hAnsi="Arial" w:cs="Arial"/>
        </w:rPr>
      </w:pPr>
      <w:r>
        <w:rPr>
          <w:rFonts w:ascii="Arial" w:hAnsi="Arial" w:cs="Arial"/>
        </w:rPr>
        <w:t>The Tribunal’s reasons will be released in due course.</w:t>
      </w:r>
    </w:p>
    <w:p w:rsidR="00B65290" w:rsidRPr="001D0261" w:rsidRDefault="00B65290" w:rsidP="00B65290">
      <w:pPr>
        <w:ind w:left="284" w:right="284"/>
        <w:jc w:val="both"/>
        <w:rPr>
          <w:rFonts w:ascii="Arial" w:hAnsi="Arial" w:cs="Arial"/>
          <w:lang w:eastAsia="en-ZA"/>
        </w:rPr>
      </w:pPr>
      <w:r w:rsidRPr="001D0261">
        <w:rPr>
          <w:rFonts w:ascii="Arial" w:hAnsi="Arial" w:cs="Arial"/>
          <w:color w:val="000000"/>
          <w:lang w:eastAsia="en-ZA"/>
        </w:rPr>
        <w:t xml:space="preserve">Issued by: </w:t>
      </w:r>
    </w:p>
    <w:p w:rsidR="00B65290" w:rsidRPr="001D0261" w:rsidRDefault="00B65290" w:rsidP="00B65290">
      <w:pPr>
        <w:spacing w:after="0"/>
        <w:ind w:left="284" w:right="284"/>
        <w:jc w:val="both"/>
        <w:rPr>
          <w:rFonts w:ascii="Arial" w:hAnsi="Arial" w:cs="Arial"/>
          <w:color w:val="000000"/>
          <w:lang w:eastAsia="en-ZA"/>
        </w:rPr>
      </w:pPr>
      <w:r w:rsidRPr="001D0261">
        <w:rPr>
          <w:rFonts w:ascii="Arial" w:hAnsi="Arial" w:cs="Arial"/>
          <w:color w:val="000000"/>
          <w:lang w:eastAsia="en-ZA"/>
        </w:rPr>
        <w:t xml:space="preserve">Chantelle Benjamin </w:t>
      </w:r>
    </w:p>
    <w:p w:rsidR="00B65290" w:rsidRPr="001D0261" w:rsidRDefault="00B65290" w:rsidP="00B65290">
      <w:pPr>
        <w:spacing w:after="0"/>
        <w:ind w:left="284" w:right="284"/>
        <w:jc w:val="both"/>
        <w:rPr>
          <w:rFonts w:ascii="Arial" w:hAnsi="Arial" w:cs="Arial"/>
          <w:color w:val="000000"/>
          <w:lang w:eastAsia="en-ZA"/>
        </w:rPr>
      </w:pPr>
      <w:r w:rsidRPr="001D0261">
        <w:rPr>
          <w:rFonts w:ascii="Arial" w:hAnsi="Arial" w:cs="Arial"/>
          <w:color w:val="000000"/>
          <w:lang w:eastAsia="en-ZA"/>
        </w:rPr>
        <w:t>Communications: Competition Tribunal   </w:t>
      </w:r>
    </w:p>
    <w:p w:rsidR="00B65290" w:rsidRPr="001D0261" w:rsidRDefault="00B65290" w:rsidP="00B65290">
      <w:pPr>
        <w:spacing w:after="0"/>
        <w:ind w:left="284" w:right="284"/>
        <w:jc w:val="both"/>
        <w:rPr>
          <w:rFonts w:ascii="Arial" w:hAnsi="Arial" w:cs="Arial"/>
          <w:color w:val="000000"/>
          <w:lang w:eastAsia="en-ZA"/>
        </w:rPr>
      </w:pPr>
      <w:r w:rsidRPr="001D0261">
        <w:rPr>
          <w:rFonts w:ascii="Arial" w:hAnsi="Arial" w:cs="Arial"/>
          <w:color w:val="000000"/>
          <w:lang w:eastAsia="en-ZA"/>
        </w:rPr>
        <w:t xml:space="preserve">Tel (012)394 1383                                      </w:t>
      </w:r>
    </w:p>
    <w:p w:rsidR="00B65290" w:rsidRPr="001D0261" w:rsidRDefault="00B65290" w:rsidP="00B65290">
      <w:pPr>
        <w:spacing w:after="0"/>
        <w:ind w:left="284" w:right="284"/>
        <w:jc w:val="both"/>
        <w:rPr>
          <w:rFonts w:ascii="Arial" w:hAnsi="Arial" w:cs="Arial"/>
          <w:color w:val="000000"/>
          <w:lang w:eastAsia="en-ZA"/>
        </w:rPr>
      </w:pPr>
      <w:r w:rsidRPr="001D0261">
        <w:rPr>
          <w:rFonts w:ascii="Arial" w:hAnsi="Arial" w:cs="Arial"/>
          <w:color w:val="000000"/>
          <w:lang w:eastAsia="en-ZA"/>
        </w:rPr>
        <w:t>Cell: +27 (0) 73 007 5603  </w:t>
      </w:r>
    </w:p>
    <w:p w:rsidR="00B65290" w:rsidRPr="001D0261" w:rsidRDefault="00B65290" w:rsidP="00B65290">
      <w:pPr>
        <w:spacing w:after="0"/>
        <w:ind w:left="284" w:right="284"/>
        <w:jc w:val="both"/>
        <w:rPr>
          <w:rFonts w:ascii="Arial" w:hAnsi="Arial" w:cs="Arial"/>
          <w:lang w:eastAsia="en-ZA"/>
        </w:rPr>
      </w:pPr>
      <w:r w:rsidRPr="001D0261">
        <w:rPr>
          <w:rFonts w:ascii="Arial" w:hAnsi="Arial" w:cs="Arial"/>
          <w:color w:val="000000"/>
          <w:lang w:eastAsia="en-ZA"/>
        </w:rPr>
        <w:t xml:space="preserve">Twitter: @comptrib                                        </w:t>
      </w:r>
    </w:p>
    <w:p w:rsidR="00B65290" w:rsidRPr="001D0261" w:rsidRDefault="00B65290" w:rsidP="00B65290">
      <w:pPr>
        <w:spacing w:after="0"/>
        <w:ind w:left="284" w:right="284"/>
        <w:jc w:val="both"/>
        <w:rPr>
          <w:rFonts w:ascii="Arial" w:hAnsi="Arial" w:cs="Arial"/>
        </w:rPr>
      </w:pPr>
      <w:r w:rsidRPr="001D0261">
        <w:rPr>
          <w:rFonts w:ascii="Arial" w:hAnsi="Arial" w:cs="Arial"/>
          <w:color w:val="000000"/>
          <w:lang w:eastAsia="en-ZA"/>
        </w:rPr>
        <w:t xml:space="preserve">E-Mail: </w:t>
      </w:r>
      <w:hyperlink r:id="rId9" w:history="1">
        <w:r w:rsidRPr="001D0261">
          <w:rPr>
            <w:rStyle w:val="Hyperlink"/>
            <w:rFonts w:ascii="Arial" w:hAnsi="Arial" w:cs="Arial"/>
            <w:lang w:eastAsia="en-ZA"/>
          </w:rPr>
          <w:t>chantelleb@comptrib.co.za</w:t>
        </w:r>
      </w:hyperlink>
      <w:r w:rsidRPr="001D0261">
        <w:rPr>
          <w:rFonts w:ascii="Arial" w:hAnsi="Arial" w:cs="Arial"/>
        </w:rPr>
        <w:t xml:space="preserve"> </w:t>
      </w:r>
    </w:p>
    <w:p w:rsidR="00B65290" w:rsidRPr="001D0261" w:rsidRDefault="00B65290" w:rsidP="00B65290">
      <w:pPr>
        <w:spacing w:after="0"/>
        <w:ind w:left="284" w:right="284"/>
        <w:jc w:val="both"/>
        <w:rPr>
          <w:rFonts w:ascii="Arial" w:hAnsi="Arial" w:cs="Arial"/>
          <w:color w:val="000000"/>
        </w:rPr>
      </w:pPr>
    </w:p>
    <w:p w:rsidR="00B65290" w:rsidRPr="001D0261" w:rsidRDefault="00B65290" w:rsidP="00B65290">
      <w:pPr>
        <w:spacing w:after="0"/>
        <w:ind w:left="284" w:right="284"/>
        <w:jc w:val="both"/>
        <w:rPr>
          <w:rFonts w:ascii="Arial" w:hAnsi="Arial" w:cs="Arial"/>
          <w:color w:val="000000"/>
        </w:rPr>
      </w:pPr>
    </w:p>
    <w:p w:rsidR="00B65290" w:rsidRPr="001D0261" w:rsidRDefault="00B65290" w:rsidP="00B65290">
      <w:pPr>
        <w:spacing w:after="0"/>
        <w:ind w:left="284" w:right="284"/>
        <w:jc w:val="both"/>
        <w:rPr>
          <w:rFonts w:ascii="Arial" w:hAnsi="Arial" w:cs="Arial"/>
          <w:lang w:eastAsia="en-ZA"/>
        </w:rPr>
      </w:pPr>
      <w:r w:rsidRPr="001D0261">
        <w:rPr>
          <w:rFonts w:ascii="Arial" w:hAnsi="Arial" w:cs="Arial"/>
          <w:color w:val="000000"/>
          <w:lang w:eastAsia="en-ZA"/>
        </w:rPr>
        <w:t>On Behalf Of:</w:t>
      </w:r>
    </w:p>
    <w:p w:rsidR="00B65290" w:rsidRPr="001D0261" w:rsidRDefault="00B65290" w:rsidP="00B65290">
      <w:pPr>
        <w:spacing w:after="0"/>
        <w:ind w:left="284" w:right="284"/>
        <w:jc w:val="both"/>
        <w:rPr>
          <w:rFonts w:ascii="Arial" w:hAnsi="Arial" w:cs="Arial"/>
          <w:lang w:eastAsia="en-ZA"/>
        </w:rPr>
      </w:pPr>
      <w:r w:rsidRPr="001D0261">
        <w:rPr>
          <w:rFonts w:ascii="Arial" w:hAnsi="Arial" w:cs="Arial"/>
          <w:color w:val="000000"/>
          <w:lang w:eastAsia="en-ZA"/>
        </w:rPr>
        <w:t>Lerato Motaung                                                   </w:t>
      </w:r>
    </w:p>
    <w:p w:rsidR="00B65290" w:rsidRPr="001D0261" w:rsidRDefault="00B65290" w:rsidP="00B65290">
      <w:pPr>
        <w:spacing w:after="0"/>
        <w:ind w:left="284" w:right="284"/>
        <w:jc w:val="both"/>
        <w:rPr>
          <w:rFonts w:ascii="Arial" w:hAnsi="Arial" w:cs="Arial"/>
          <w:lang w:eastAsia="en-ZA"/>
        </w:rPr>
      </w:pPr>
      <w:r w:rsidRPr="001D0261">
        <w:rPr>
          <w:rFonts w:ascii="Arial" w:hAnsi="Arial" w:cs="Arial"/>
          <w:color w:val="000000"/>
          <w:lang w:eastAsia="en-ZA"/>
        </w:rPr>
        <w:t xml:space="preserve">Registrar: Competition Tribunal                                         </w:t>
      </w:r>
    </w:p>
    <w:p w:rsidR="00B65290" w:rsidRPr="001D0261" w:rsidRDefault="00B65290" w:rsidP="00B65290">
      <w:pPr>
        <w:spacing w:after="0"/>
        <w:ind w:left="284" w:right="284"/>
        <w:jc w:val="both"/>
        <w:rPr>
          <w:rFonts w:ascii="Arial" w:hAnsi="Arial" w:cs="Arial"/>
          <w:lang w:eastAsia="en-ZA"/>
        </w:rPr>
      </w:pPr>
      <w:r w:rsidRPr="001D0261">
        <w:rPr>
          <w:rFonts w:ascii="Arial" w:hAnsi="Arial" w:cs="Arial"/>
          <w:color w:val="000000"/>
          <w:lang w:eastAsia="en-ZA"/>
        </w:rPr>
        <w:t xml:space="preserve">Tel: (012) 394 3355                                              </w:t>
      </w:r>
    </w:p>
    <w:p w:rsidR="00B65290" w:rsidRPr="001D0261" w:rsidRDefault="00B65290" w:rsidP="00B65290">
      <w:pPr>
        <w:spacing w:after="0"/>
        <w:ind w:left="284" w:right="284"/>
        <w:jc w:val="both"/>
        <w:rPr>
          <w:rFonts w:ascii="Arial" w:hAnsi="Arial" w:cs="Arial"/>
          <w:lang w:eastAsia="en-ZA"/>
        </w:rPr>
      </w:pPr>
      <w:r w:rsidRPr="001D0261">
        <w:rPr>
          <w:rFonts w:ascii="Arial" w:hAnsi="Arial" w:cs="Arial"/>
          <w:color w:val="000000"/>
          <w:lang w:eastAsia="en-ZA"/>
        </w:rPr>
        <w:t xml:space="preserve">Cell: +27 (0) 82 556 3221                                               </w:t>
      </w:r>
    </w:p>
    <w:p w:rsidR="00B65290" w:rsidRPr="001D0261" w:rsidRDefault="00B65290" w:rsidP="00B65290">
      <w:pPr>
        <w:spacing w:after="0"/>
        <w:ind w:left="284" w:right="284"/>
        <w:jc w:val="both"/>
        <w:rPr>
          <w:rFonts w:ascii="Arial" w:hAnsi="Arial" w:cs="Arial"/>
        </w:rPr>
      </w:pPr>
      <w:r w:rsidRPr="001D0261">
        <w:rPr>
          <w:rFonts w:ascii="Arial" w:hAnsi="Arial" w:cs="Arial"/>
          <w:color w:val="000000"/>
          <w:lang w:eastAsia="en-ZA"/>
        </w:rPr>
        <w:t xml:space="preserve">E-Mail: </w:t>
      </w:r>
      <w:hyperlink r:id="rId10" w:history="1">
        <w:r w:rsidRPr="001D0261">
          <w:rPr>
            <w:rStyle w:val="Hyperlink"/>
            <w:rFonts w:ascii="Arial" w:hAnsi="Arial" w:cs="Arial"/>
            <w:lang w:eastAsia="en-ZA"/>
          </w:rPr>
          <w:t>LeratoM@comptrib.co.za</w:t>
        </w:r>
      </w:hyperlink>
    </w:p>
    <w:p w:rsidR="00B65290" w:rsidRPr="0082137F" w:rsidRDefault="00B65290" w:rsidP="00B65290">
      <w:pPr>
        <w:spacing w:line="360" w:lineRule="auto"/>
        <w:ind w:left="284" w:right="284"/>
        <w:jc w:val="both"/>
        <w:rPr>
          <w:rFonts w:ascii="Arial" w:hAnsi="Arial" w:cs="Arial"/>
        </w:rPr>
      </w:pPr>
    </w:p>
    <w:sectPr w:rsidR="00B65290" w:rsidRPr="0082137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2C" w:rsidRDefault="00486A2C" w:rsidP="00433483">
      <w:pPr>
        <w:spacing w:after="0" w:line="240" w:lineRule="auto"/>
      </w:pPr>
      <w:r>
        <w:separator/>
      </w:r>
    </w:p>
  </w:endnote>
  <w:endnote w:type="continuationSeparator" w:id="0">
    <w:p w:rsidR="00486A2C" w:rsidRDefault="00486A2C" w:rsidP="0043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097980"/>
      <w:docPartObj>
        <w:docPartGallery w:val="Page Numbers (Bottom of Page)"/>
        <w:docPartUnique/>
      </w:docPartObj>
    </w:sdtPr>
    <w:sdtEndPr>
      <w:rPr>
        <w:noProof/>
      </w:rPr>
    </w:sdtEndPr>
    <w:sdtContent>
      <w:p w:rsidR="0082137F" w:rsidRDefault="0082137F">
        <w:pPr>
          <w:pStyle w:val="Footer"/>
          <w:jc w:val="right"/>
        </w:pPr>
        <w:r>
          <w:fldChar w:fldCharType="begin"/>
        </w:r>
        <w:r>
          <w:instrText xml:space="preserve"> PAGE   \* MERGEFORMAT </w:instrText>
        </w:r>
        <w:r>
          <w:fldChar w:fldCharType="separate"/>
        </w:r>
        <w:r w:rsidR="00D87C24">
          <w:rPr>
            <w:noProof/>
          </w:rPr>
          <w:t>1</w:t>
        </w:r>
        <w:r>
          <w:rPr>
            <w:noProof/>
          </w:rPr>
          <w:fldChar w:fldCharType="end"/>
        </w:r>
      </w:p>
    </w:sdtContent>
  </w:sdt>
  <w:p w:rsidR="0082137F" w:rsidRDefault="0082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2C" w:rsidRDefault="00486A2C" w:rsidP="00433483">
      <w:pPr>
        <w:spacing w:after="0" w:line="240" w:lineRule="auto"/>
      </w:pPr>
      <w:r>
        <w:separator/>
      </w:r>
    </w:p>
  </w:footnote>
  <w:footnote w:type="continuationSeparator" w:id="0">
    <w:p w:rsidR="00486A2C" w:rsidRDefault="00486A2C" w:rsidP="00433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80195"/>
    <w:multiLevelType w:val="multilevel"/>
    <w:tmpl w:val="D7D6DA38"/>
    <w:lvl w:ilvl="0">
      <w:start w:val="1"/>
      <w:numFmt w:val="decimal"/>
      <w:pStyle w:val="BowLevel1HeadingAltQ"/>
      <w:lvlText w:val="%1."/>
      <w:lvlJc w:val="left"/>
      <w:pPr>
        <w:tabs>
          <w:tab w:val="num" w:pos="567"/>
        </w:tabs>
        <w:ind w:left="567" w:hanging="567"/>
      </w:pPr>
      <w:rPr>
        <w:b w:val="0"/>
        <w:i w:val="0"/>
        <w:sz w:val="22"/>
        <w:szCs w:val="22"/>
      </w:rPr>
    </w:lvl>
    <w:lvl w:ilvl="1">
      <w:start w:val="1"/>
      <w:numFmt w:val="decimal"/>
      <w:pStyle w:val="BowLevel2HeadingAltA"/>
      <w:lvlText w:val="%1.%2"/>
      <w:lvlJc w:val="left"/>
      <w:pPr>
        <w:tabs>
          <w:tab w:val="num" w:pos="851"/>
        </w:tabs>
        <w:ind w:left="851" w:hanging="851"/>
      </w:pPr>
      <w:rPr>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owLevel3HeadingAltZ"/>
      <w:lvlText w:val="%1.%2.%3"/>
      <w:lvlJc w:val="left"/>
      <w:pPr>
        <w:tabs>
          <w:tab w:val="num" w:pos="1134"/>
        </w:tabs>
        <w:ind w:left="1134" w:hanging="113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owLevel4HeadingAltX"/>
      <w:lvlText w:val="%1.%2.%3.%4"/>
      <w:lvlJc w:val="left"/>
      <w:pPr>
        <w:tabs>
          <w:tab w:val="num" w:pos="1418"/>
        </w:tabs>
        <w:ind w:left="1418" w:hanging="1418"/>
      </w:pPr>
      <w:rPr>
        <w:b w:val="0"/>
        <w:i w:val="0"/>
        <w:sz w:val="18"/>
      </w:rPr>
    </w:lvl>
    <w:lvl w:ilvl="4">
      <w:start w:val="1"/>
      <w:numFmt w:val="decimal"/>
      <w:pStyle w:val="BowLevel5HeadingAltC"/>
      <w:lvlText w:val="%1.%2.%3.%4.%5"/>
      <w:lvlJc w:val="left"/>
      <w:pPr>
        <w:tabs>
          <w:tab w:val="num" w:pos="1701"/>
        </w:tabs>
        <w:ind w:left="1701" w:hanging="1701"/>
      </w:pPr>
      <w:rPr>
        <w:b w:val="0"/>
        <w:i w:val="0"/>
        <w:sz w:val="18"/>
      </w:rPr>
    </w:lvl>
    <w:lvl w:ilvl="5">
      <w:start w:val="1"/>
      <w:numFmt w:val="decimal"/>
      <w:pStyle w:val="BowLevel6HeadingAltV"/>
      <w:lvlText w:val="%1.%2.%3.%4.%5.%6"/>
      <w:lvlJc w:val="left"/>
      <w:pPr>
        <w:tabs>
          <w:tab w:val="num" w:pos="1985"/>
        </w:tabs>
        <w:ind w:left="1985" w:hanging="1985"/>
      </w:pPr>
      <w:rPr>
        <w:b w:val="0"/>
        <w:i w:val="0"/>
        <w:sz w:val="18"/>
      </w:rPr>
    </w:lvl>
    <w:lvl w:ilvl="6">
      <w:start w:val="1"/>
      <w:numFmt w:val="decimal"/>
      <w:pStyle w:val="BowLevel7HeadingAltB"/>
      <w:lvlText w:val="%1.%2.%3.%4.%5.%6.%7"/>
      <w:lvlJc w:val="left"/>
      <w:pPr>
        <w:tabs>
          <w:tab w:val="num" w:pos="2268"/>
        </w:tabs>
        <w:ind w:left="2268" w:hanging="22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5B3710A"/>
    <w:multiLevelType w:val="hybridMultilevel"/>
    <w:tmpl w:val="A8DA5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85037FD"/>
    <w:multiLevelType w:val="hybridMultilevel"/>
    <w:tmpl w:val="2210003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15:restartNumberingAfterBreak="0">
    <w:nsid w:val="59E4439E"/>
    <w:multiLevelType w:val="hybridMultilevel"/>
    <w:tmpl w:val="DAB4EEEC"/>
    <w:lvl w:ilvl="0" w:tplc="9580DE08">
      <w:start w:val="1"/>
      <w:numFmt w:val="decimal"/>
      <w:pStyle w:val="References"/>
      <w:lvlText w:val="%1."/>
      <w:lvlJc w:val="left"/>
      <w:pPr>
        <w:ind w:left="720" w:hanging="360"/>
      </w:pPr>
      <w:rPr>
        <w:rFonts w:ascii="Arial" w:hAnsi="Arial"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216EB1"/>
    <w:multiLevelType w:val="hybridMultilevel"/>
    <w:tmpl w:val="A4D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83"/>
    <w:rsid w:val="00015BD0"/>
    <w:rsid w:val="00062D12"/>
    <w:rsid w:val="00090236"/>
    <w:rsid w:val="000B3417"/>
    <w:rsid w:val="000D13CA"/>
    <w:rsid w:val="001D5571"/>
    <w:rsid w:val="002317F9"/>
    <w:rsid w:val="00246A69"/>
    <w:rsid w:val="00285237"/>
    <w:rsid w:val="002F2696"/>
    <w:rsid w:val="003641B0"/>
    <w:rsid w:val="0039018D"/>
    <w:rsid w:val="003B7018"/>
    <w:rsid w:val="003C165A"/>
    <w:rsid w:val="00433483"/>
    <w:rsid w:val="00482491"/>
    <w:rsid w:val="00486A2C"/>
    <w:rsid w:val="004B6986"/>
    <w:rsid w:val="00511347"/>
    <w:rsid w:val="00572E2D"/>
    <w:rsid w:val="005E755B"/>
    <w:rsid w:val="00605308"/>
    <w:rsid w:val="0062488A"/>
    <w:rsid w:val="006C1468"/>
    <w:rsid w:val="00764A57"/>
    <w:rsid w:val="00801E5A"/>
    <w:rsid w:val="00812998"/>
    <w:rsid w:val="0082137F"/>
    <w:rsid w:val="009A00A8"/>
    <w:rsid w:val="009D4E62"/>
    <w:rsid w:val="009D5521"/>
    <w:rsid w:val="00A03C40"/>
    <w:rsid w:val="00A563F5"/>
    <w:rsid w:val="00B65290"/>
    <w:rsid w:val="00CD0299"/>
    <w:rsid w:val="00D60EBE"/>
    <w:rsid w:val="00D75C4E"/>
    <w:rsid w:val="00D87C24"/>
    <w:rsid w:val="00DC109D"/>
    <w:rsid w:val="00DF609A"/>
    <w:rsid w:val="00E11A7C"/>
    <w:rsid w:val="00E665C1"/>
    <w:rsid w:val="00E83754"/>
    <w:rsid w:val="00E938E4"/>
    <w:rsid w:val="00EA3100"/>
    <w:rsid w:val="00EC5320"/>
    <w:rsid w:val="00F0136A"/>
    <w:rsid w:val="00F029F2"/>
    <w:rsid w:val="00F52E12"/>
    <w:rsid w:val="00FD4E09"/>
    <w:rsid w:val="00FD7D6C"/>
    <w:rsid w:val="00FF4755"/>
    <w:rsid w:val="00FF62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7EEAA-7D00-47DC-BFCA-D924717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nabsatz"/>
    <w:basedOn w:val="Normal"/>
    <w:link w:val="ListParagraphChar"/>
    <w:uiPriority w:val="34"/>
    <w:qFormat/>
    <w:rsid w:val="00433483"/>
    <w:pPr>
      <w:spacing w:after="200" w:line="276" w:lineRule="auto"/>
      <w:ind w:left="720"/>
      <w:contextualSpacing/>
    </w:pPr>
    <w:rPr>
      <w:rFonts w:eastAsiaTheme="minorEastAsia"/>
      <w:lang w:eastAsia="en-ZA"/>
    </w:rPr>
  </w:style>
  <w:style w:type="paragraph" w:styleId="FootnoteText">
    <w:name w:val="footnote text"/>
    <w:basedOn w:val="Normal"/>
    <w:link w:val="FootnoteTextChar"/>
    <w:uiPriority w:val="99"/>
    <w:semiHidden/>
    <w:unhideWhenUsed/>
    <w:rsid w:val="00433483"/>
    <w:pPr>
      <w:spacing w:after="0" w:line="240" w:lineRule="auto"/>
    </w:pPr>
    <w:rPr>
      <w:rFonts w:eastAsiaTheme="minorEastAsia"/>
      <w:sz w:val="20"/>
      <w:szCs w:val="20"/>
      <w:lang w:eastAsia="en-ZA"/>
    </w:rPr>
  </w:style>
  <w:style w:type="character" w:customStyle="1" w:styleId="FootnoteTextChar">
    <w:name w:val="Footnote Text Char"/>
    <w:basedOn w:val="DefaultParagraphFont"/>
    <w:link w:val="FootnoteText"/>
    <w:uiPriority w:val="99"/>
    <w:semiHidden/>
    <w:rsid w:val="00433483"/>
    <w:rPr>
      <w:rFonts w:eastAsiaTheme="minorEastAsia"/>
      <w:sz w:val="20"/>
      <w:szCs w:val="20"/>
      <w:lang w:eastAsia="en-ZA"/>
    </w:rPr>
  </w:style>
  <w:style w:type="character" w:styleId="FootnoteReference">
    <w:name w:val="footnote reference"/>
    <w:basedOn w:val="DefaultParagraphFont"/>
    <w:uiPriority w:val="99"/>
    <w:semiHidden/>
    <w:unhideWhenUsed/>
    <w:rsid w:val="00433483"/>
    <w:rPr>
      <w:vertAlign w:val="superscript"/>
    </w:rPr>
  </w:style>
  <w:style w:type="paragraph" w:customStyle="1" w:styleId="intro">
    <w:name w:val="intro"/>
    <w:basedOn w:val="Normal"/>
    <w:rsid w:val="00E11A7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E11A7C"/>
    <w:rPr>
      <w:color w:val="0000FF"/>
      <w:u w:val="single"/>
    </w:rPr>
  </w:style>
  <w:style w:type="paragraph" w:styleId="NormalWeb">
    <w:name w:val="Normal (Web)"/>
    <w:basedOn w:val="Normal"/>
    <w:uiPriority w:val="99"/>
    <w:semiHidden/>
    <w:unhideWhenUsed/>
    <w:rsid w:val="00E11A7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
    <w:name w:val="References"/>
    <w:basedOn w:val="ListParagraph"/>
    <w:link w:val="ReferencesChar"/>
    <w:qFormat/>
    <w:rsid w:val="00E938E4"/>
    <w:pPr>
      <w:numPr>
        <w:numId w:val="3"/>
      </w:numPr>
    </w:pPr>
    <w:rPr>
      <w:rFonts w:ascii="Arial" w:eastAsia="Calibri" w:hAnsi="Arial" w:cs="Times New Roman"/>
    </w:rPr>
  </w:style>
  <w:style w:type="character" w:customStyle="1" w:styleId="ReferencesChar">
    <w:name w:val="References Char"/>
    <w:basedOn w:val="DefaultParagraphFont"/>
    <w:link w:val="References"/>
    <w:rsid w:val="00E938E4"/>
    <w:rPr>
      <w:rFonts w:ascii="Arial" w:eastAsia="Calibri" w:hAnsi="Arial" w:cs="Times New Roman"/>
      <w:lang w:eastAsia="en-ZA"/>
    </w:rPr>
  </w:style>
  <w:style w:type="paragraph" w:styleId="BalloonText">
    <w:name w:val="Balloon Text"/>
    <w:basedOn w:val="Normal"/>
    <w:link w:val="BalloonTextChar"/>
    <w:uiPriority w:val="99"/>
    <w:semiHidden/>
    <w:unhideWhenUsed/>
    <w:rsid w:val="00E9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E4"/>
    <w:rPr>
      <w:rFonts w:ascii="Tahoma" w:hAnsi="Tahoma" w:cs="Tahoma"/>
      <w:sz w:val="16"/>
      <w:szCs w:val="16"/>
    </w:rPr>
  </w:style>
  <w:style w:type="character" w:customStyle="1" w:styleId="ListParagraphChar">
    <w:name w:val="List Paragraph Char"/>
    <w:aliases w:val="#Listenabsatz Char"/>
    <w:basedOn w:val="DefaultParagraphFont"/>
    <w:link w:val="ListParagraph"/>
    <w:uiPriority w:val="34"/>
    <w:rsid w:val="00FD4E09"/>
    <w:rPr>
      <w:rFonts w:eastAsiaTheme="minorEastAsia"/>
      <w:lang w:eastAsia="en-ZA"/>
    </w:rPr>
  </w:style>
  <w:style w:type="paragraph" w:customStyle="1" w:styleId="BowLevel1HeadingAltQ">
    <w:name w:val="Bow_Level 1 Heading Alt+Q"/>
    <w:basedOn w:val="Normal"/>
    <w:rsid w:val="00605308"/>
    <w:pPr>
      <w:keepNext/>
      <w:numPr>
        <w:numId w:val="5"/>
      </w:numPr>
      <w:spacing w:after="200" w:line="360" w:lineRule="auto"/>
      <w:jc w:val="both"/>
      <w:outlineLvl w:val="0"/>
    </w:pPr>
    <w:rPr>
      <w:rFonts w:ascii="Century Gothic" w:eastAsia="Times New Roman" w:hAnsi="Century Gothic" w:cs="Times New Roman"/>
      <w:b/>
      <w:caps/>
      <w:sz w:val="18"/>
      <w:szCs w:val="18"/>
      <w:lang w:val="en-US"/>
    </w:rPr>
  </w:style>
  <w:style w:type="character" w:customStyle="1" w:styleId="BowLevel2HeadingAltAChar">
    <w:name w:val="Bow_Level 2 Heading Alt+A Char"/>
    <w:basedOn w:val="DefaultParagraphFont"/>
    <w:link w:val="BowLevel2HeadingAltA"/>
    <w:locked/>
    <w:rsid w:val="00605308"/>
    <w:rPr>
      <w:rFonts w:ascii="Century Gothic" w:eastAsia="Times New Roman" w:hAnsi="Century Gothic" w:cs="Times New Roman"/>
      <w:sz w:val="18"/>
      <w:szCs w:val="18"/>
    </w:rPr>
  </w:style>
  <w:style w:type="paragraph" w:customStyle="1" w:styleId="BowLevel2HeadingAltA">
    <w:name w:val="Bow_Level 2 Heading Alt+A"/>
    <w:basedOn w:val="Normal"/>
    <w:link w:val="BowLevel2HeadingAltAChar"/>
    <w:rsid w:val="00605308"/>
    <w:pPr>
      <w:numPr>
        <w:ilvl w:val="1"/>
        <w:numId w:val="5"/>
      </w:numPr>
      <w:spacing w:after="200" w:line="360" w:lineRule="auto"/>
      <w:jc w:val="both"/>
    </w:pPr>
    <w:rPr>
      <w:rFonts w:ascii="Century Gothic" w:eastAsia="Times New Roman" w:hAnsi="Century Gothic" w:cs="Times New Roman"/>
      <w:sz w:val="18"/>
      <w:szCs w:val="18"/>
    </w:rPr>
  </w:style>
  <w:style w:type="paragraph" w:customStyle="1" w:styleId="BowLevel3HeadingAltZ">
    <w:name w:val="Bow_Level 3 Heading Alt+Z"/>
    <w:basedOn w:val="Normal"/>
    <w:rsid w:val="00605308"/>
    <w:pPr>
      <w:numPr>
        <w:ilvl w:val="2"/>
        <w:numId w:val="5"/>
      </w:numPr>
      <w:spacing w:after="200" w:line="360" w:lineRule="auto"/>
      <w:jc w:val="both"/>
    </w:pPr>
    <w:rPr>
      <w:rFonts w:ascii="Century Gothic" w:eastAsia="Times New Roman" w:hAnsi="Century Gothic" w:cs="Times New Roman"/>
      <w:sz w:val="18"/>
      <w:szCs w:val="18"/>
      <w:lang w:val="en-US"/>
    </w:rPr>
  </w:style>
  <w:style w:type="paragraph" w:customStyle="1" w:styleId="BowLevel4HeadingAltX">
    <w:name w:val="Bow_Level 4 Heading Alt+X"/>
    <w:basedOn w:val="Normal"/>
    <w:rsid w:val="00605308"/>
    <w:pPr>
      <w:numPr>
        <w:ilvl w:val="3"/>
        <w:numId w:val="5"/>
      </w:numPr>
      <w:spacing w:after="200" w:line="360" w:lineRule="auto"/>
      <w:jc w:val="both"/>
    </w:pPr>
    <w:rPr>
      <w:rFonts w:ascii="Century Gothic" w:eastAsia="Times New Roman" w:hAnsi="Century Gothic" w:cs="Times New Roman"/>
      <w:sz w:val="18"/>
      <w:szCs w:val="18"/>
    </w:rPr>
  </w:style>
  <w:style w:type="paragraph" w:customStyle="1" w:styleId="BowLevel5HeadingAltC">
    <w:name w:val="Bow_Level 5 Heading Alt+C"/>
    <w:basedOn w:val="Normal"/>
    <w:rsid w:val="00605308"/>
    <w:pPr>
      <w:numPr>
        <w:ilvl w:val="4"/>
        <w:numId w:val="5"/>
      </w:numPr>
      <w:spacing w:after="200" w:line="360" w:lineRule="auto"/>
      <w:jc w:val="both"/>
    </w:pPr>
    <w:rPr>
      <w:rFonts w:ascii="Century Gothic" w:eastAsia="Times New Roman" w:hAnsi="Century Gothic" w:cs="Times New Roman"/>
      <w:sz w:val="18"/>
      <w:szCs w:val="18"/>
      <w:lang w:val="en-US"/>
    </w:rPr>
  </w:style>
  <w:style w:type="paragraph" w:customStyle="1" w:styleId="BowLevel6HeadingAltV">
    <w:name w:val="Bow_Level 6 Heading Alt+V"/>
    <w:basedOn w:val="Normal"/>
    <w:rsid w:val="00605308"/>
    <w:pPr>
      <w:numPr>
        <w:ilvl w:val="5"/>
        <w:numId w:val="5"/>
      </w:numPr>
      <w:spacing w:after="200" w:line="360" w:lineRule="auto"/>
      <w:jc w:val="both"/>
    </w:pPr>
    <w:rPr>
      <w:rFonts w:ascii="Century Gothic" w:eastAsia="Times New Roman" w:hAnsi="Century Gothic" w:cs="Times New Roman"/>
      <w:sz w:val="18"/>
      <w:szCs w:val="18"/>
      <w:lang w:val="en-US"/>
    </w:rPr>
  </w:style>
  <w:style w:type="paragraph" w:customStyle="1" w:styleId="BowLevel7HeadingAltB">
    <w:name w:val="Bow_Level 7 Heading Alt+B"/>
    <w:basedOn w:val="Normal"/>
    <w:rsid w:val="00605308"/>
    <w:pPr>
      <w:numPr>
        <w:ilvl w:val="6"/>
        <w:numId w:val="5"/>
      </w:numPr>
      <w:spacing w:after="200" w:line="360" w:lineRule="auto"/>
      <w:jc w:val="both"/>
    </w:pPr>
    <w:rPr>
      <w:rFonts w:ascii="Century Gothic" w:eastAsia="Times New Roman" w:hAnsi="Century Gothic" w:cs="Times New Roman"/>
      <w:sz w:val="18"/>
      <w:szCs w:val="18"/>
      <w:lang w:val="en-US"/>
    </w:rPr>
  </w:style>
  <w:style w:type="paragraph" w:styleId="Header">
    <w:name w:val="header"/>
    <w:basedOn w:val="Normal"/>
    <w:link w:val="HeaderChar"/>
    <w:uiPriority w:val="99"/>
    <w:unhideWhenUsed/>
    <w:rsid w:val="00821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37F"/>
  </w:style>
  <w:style w:type="paragraph" w:styleId="Footer">
    <w:name w:val="footer"/>
    <w:basedOn w:val="Normal"/>
    <w:link w:val="FooterChar"/>
    <w:uiPriority w:val="99"/>
    <w:unhideWhenUsed/>
    <w:rsid w:val="00821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54751">
      <w:bodyDiv w:val="1"/>
      <w:marLeft w:val="0"/>
      <w:marRight w:val="0"/>
      <w:marTop w:val="0"/>
      <w:marBottom w:val="0"/>
      <w:divBdr>
        <w:top w:val="none" w:sz="0" w:space="0" w:color="auto"/>
        <w:left w:val="none" w:sz="0" w:space="0" w:color="auto"/>
        <w:bottom w:val="none" w:sz="0" w:space="0" w:color="auto"/>
        <w:right w:val="none" w:sz="0" w:space="0" w:color="auto"/>
      </w:divBdr>
    </w:div>
    <w:div w:id="612590250">
      <w:bodyDiv w:val="1"/>
      <w:marLeft w:val="0"/>
      <w:marRight w:val="0"/>
      <w:marTop w:val="0"/>
      <w:marBottom w:val="0"/>
      <w:divBdr>
        <w:top w:val="none" w:sz="0" w:space="0" w:color="auto"/>
        <w:left w:val="none" w:sz="0" w:space="0" w:color="auto"/>
        <w:bottom w:val="none" w:sz="0" w:space="0" w:color="auto"/>
        <w:right w:val="none" w:sz="0" w:space="0" w:color="auto"/>
      </w:divBdr>
      <w:divsChild>
        <w:div w:id="2007047715">
          <w:marLeft w:val="0"/>
          <w:marRight w:val="0"/>
          <w:marTop w:val="0"/>
          <w:marBottom w:val="240"/>
          <w:divBdr>
            <w:top w:val="none" w:sz="0" w:space="0" w:color="auto"/>
            <w:left w:val="none" w:sz="0" w:space="0" w:color="auto"/>
            <w:bottom w:val="none" w:sz="0" w:space="0" w:color="auto"/>
            <w:right w:val="none" w:sz="0" w:space="0" w:color="auto"/>
          </w:divBdr>
          <w:divsChild>
            <w:div w:id="14377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873">
      <w:bodyDiv w:val="1"/>
      <w:marLeft w:val="0"/>
      <w:marRight w:val="0"/>
      <w:marTop w:val="0"/>
      <w:marBottom w:val="0"/>
      <w:divBdr>
        <w:top w:val="none" w:sz="0" w:space="0" w:color="auto"/>
        <w:left w:val="none" w:sz="0" w:space="0" w:color="auto"/>
        <w:bottom w:val="none" w:sz="0" w:space="0" w:color="auto"/>
        <w:right w:val="none" w:sz="0" w:space="0" w:color="auto"/>
      </w:divBdr>
    </w:div>
    <w:div w:id="16956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ratoM@comptrib.co.za" TargetMode="External"/><Relationship Id="rId4" Type="http://schemas.openxmlformats.org/officeDocument/2006/relationships/settings" Target="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72CD-556C-4522-8474-421DC9E3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Benjamin</dc:creator>
  <cp:lastModifiedBy>Chantelle Benjamin</cp:lastModifiedBy>
  <cp:revision>3</cp:revision>
  <dcterms:created xsi:type="dcterms:W3CDTF">2017-08-17T14:54:00Z</dcterms:created>
  <dcterms:modified xsi:type="dcterms:W3CDTF">2017-08-17T14:55:00Z</dcterms:modified>
</cp:coreProperties>
</file>